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/>
          <w:sz w:val="40"/>
          <w:szCs w:val="48"/>
          <w:lang w:val="en-US" w:eastAsia="zh-CN"/>
        </w:rPr>
      </w:pPr>
    </w:p>
    <w:p>
      <w:pPr>
        <w:spacing w:line="600" w:lineRule="auto"/>
        <w:jc w:val="center"/>
        <w:rPr>
          <w:rFonts w:hint="eastAsia"/>
          <w:sz w:val="40"/>
          <w:szCs w:val="48"/>
          <w:lang w:val="en-US" w:eastAsia="zh-CN"/>
        </w:rPr>
      </w:pPr>
    </w:p>
    <w:p>
      <w:pPr>
        <w:spacing w:line="600" w:lineRule="auto"/>
        <w:jc w:val="center"/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  <w:t>中国天津外轮代理有限公司</w:t>
      </w:r>
    </w:p>
    <w:p>
      <w:pPr>
        <w:spacing w:line="600" w:lineRule="auto"/>
        <w:jc w:val="center"/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  <w:t>航运在线通</w:t>
      </w:r>
    </w:p>
    <w:p>
      <w:pPr>
        <w:spacing w:line="600" w:lineRule="auto"/>
        <w:jc w:val="center"/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  <w:t>操作手册</w:t>
      </w:r>
    </w:p>
    <w:p>
      <w:pPr>
        <w:spacing w:line="600" w:lineRule="auto"/>
        <w:jc w:val="center"/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</w:pPr>
    </w:p>
    <w:p>
      <w:pPr>
        <w:spacing w:line="600" w:lineRule="auto"/>
        <w:jc w:val="center"/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</w:pPr>
    </w:p>
    <w:p>
      <w:pPr>
        <w:spacing w:line="600" w:lineRule="auto"/>
        <w:jc w:val="center"/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</w:pPr>
    </w:p>
    <w:p>
      <w:pPr>
        <w:spacing w:line="600" w:lineRule="auto"/>
        <w:jc w:val="center"/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</w:pPr>
    </w:p>
    <w:p>
      <w:pPr>
        <w:spacing w:line="600" w:lineRule="auto"/>
        <w:jc w:val="center"/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</w:pPr>
    </w:p>
    <w:p>
      <w:pPr>
        <w:spacing w:line="600" w:lineRule="auto"/>
        <w:jc w:val="center"/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  <w:t>2024年3月22日</w:t>
      </w:r>
    </w:p>
    <w:p>
      <w:pPr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lang w:val="en-US" w:eastAsia="zh-CN"/>
        </w:rPr>
        <w:br w:type="page"/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航运在线通应用背景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行“航运在线通”平台支持多币种结算，提供在线支付、外汇汇兑、自动对账等综合金融服务。目前系统已实现全流程线上交易，可一站式处理审单、外汇收支申报、发票存储等，企业一次签约后即可在平台上进行海运费实时在线结算，实现在线交单，电子发票自动审核等。缩短了货代物流企业结算运费以及获取银行回单和海运提单的时间，进而减少了由于结算时间长造成对货物抵达目的地港口以后的清关、仓储、运输等业务环节产生的影响，提高了运转效率，满足了进出口企业、货物代理公司、船舶代理公司等各方之间海运费、换单费、提箱费等相关费用的在线支付需求。</w:t>
      </w:r>
    </w:p>
    <w:p>
      <w:pPr>
        <w:pStyle w:val="2"/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二、车队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3.1车队先与中行签订航运在线通协议[线下]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航运在线通签署，需要到中国银行各营业网点完成，您需要携带以下资料：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《中国银行股份有限公司“航运在线通”支付业务客户申请表》（以下简称“客户申请表”）一式二份；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营业执照（副本）原件及复印件各一份、办理人员身份证件、单位授权书等证明材料；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《中国银行股份有限公司“航运在线通”支付业务客户服务协议》一式二份；</w:t>
      </w:r>
      <w:r>
        <w:rPr>
          <w:rFonts w:hint="eastAsia"/>
          <w:lang w:val="en-US" w:eastAsia="zh-CN"/>
        </w:rPr>
        <w:t xml:space="preserve"> </w:t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以上申请表格和证明材料复印件均需加盖银行预留印鉴； </w:t>
      </w:r>
    </w:p>
    <w:p>
      <w:pPr>
        <w:ind w:firstLine="420"/>
        <w:rPr>
          <w:rFonts w:hint="default"/>
          <w:lang w:val="en-US" w:eastAsia="zh-CN"/>
        </w:rPr>
      </w:pPr>
      <w:r>
        <w:drawing>
          <wp:inline distT="0" distB="0" distL="114300" distR="114300">
            <wp:extent cx="3002915" cy="3646805"/>
            <wp:effectExtent l="0" t="0" r="6985" b="1079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2915" cy="364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3.2线上签约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在“电子支付管理”--“3.授权管理”--“XP-航运在线通备案”功能下。</w:t>
      </w:r>
    </w:p>
    <w:p>
      <w:r>
        <w:drawing>
          <wp:inline distT="0" distB="0" distL="114300" distR="114300">
            <wp:extent cx="2441575" cy="3264535"/>
            <wp:effectExtent l="0" t="0" r="15875" b="1206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1575" cy="326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在菜单“3.授权管理”--“XP-航运在线通备案”功能下，有新增支付信息、删除支付信息、开立备案、关闭备案、查询备案状态等几个功能。</w:t>
      </w:r>
    </w:p>
    <w:p>
      <w:r>
        <w:drawing>
          <wp:inline distT="0" distB="0" distL="114300" distR="114300">
            <wp:extent cx="5500370" cy="1081405"/>
            <wp:effectExtent l="0" t="0" r="5080" b="444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037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3.2.1维护支付信息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点击按钮“新增支付信息”，选择币别，填入贵司在中行签约“航运在线通”的人民币账户，点击保存。</w:t>
      </w:r>
    </w:p>
    <w:p>
      <w:r>
        <w:drawing>
          <wp:inline distT="0" distB="0" distL="114300" distR="114300">
            <wp:extent cx="3709670" cy="1662430"/>
            <wp:effectExtent l="0" t="0" r="508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0967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3.2.2支付信息备案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如需能够正常使用航运在线通，点击“开立备案”功能，该功能可实现贵司在线签约“外代电子商务门户”的航运在线通功能。</w:t>
      </w:r>
    </w:p>
    <w:p>
      <w:r>
        <w:drawing>
          <wp:inline distT="0" distB="0" distL="114300" distR="114300">
            <wp:extent cx="5272405" cy="1076960"/>
            <wp:effectExtent l="0" t="0" r="4445" b="889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color w:val="0000FF"/>
          <w:lang w:val="en-US" w:eastAsia="zh-CN"/>
        </w:rPr>
        <w:t>请注意：中行航运在线通产品成立较久，如贵司签约时间较早，可能签约是备案的证件是组织机构代码证，如不确定，请先使用组织机构代码证进行备案，如备案回执为“MB0113 账号备案时使用的证件类型/证件代码与签约时使用的不一致”，请删除支付信息，重新新增支付信息并使用备案证件类型是“统一信用证号”再次开立备案。</w:t>
      </w:r>
    </w:p>
    <w:p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2743200" cy="1047750"/>
            <wp:effectExtent l="0" t="0" r="0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在提交开立备案后，备案状态会变更为“开立备案处理中”。如中行处理完毕后，会反馈开立备案结果，备案通过/备案失败，备案失败的原因会体现在“备案回执”栏目中。如中行反馈慢，可点“查询备案状态”进行重新提交备案状态的请求查询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如跟中行的备案信息有变/备案失败，可点击“关闭备案”，然后选中点“删除支付信息”后，再重新填写支付信息及开立备案操作。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3.2.3 公司一级账户绑定微信公众号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为确保交易操作安全，请务必将支付申请人和审核人分开，在交易发起的时候，我们会通过微信公众号（外代微服务）推送验证码信息给一级账户（和外代签约时的账户，可操作团队自助管理功能的账号）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用一级账号登录我司网站，如该一级账户未绑定微信，登录后的界面会出现如下二维码</w:t>
      </w:r>
    </w:p>
    <w:p>
      <w:r>
        <w:drawing>
          <wp:inline distT="0" distB="0" distL="114300" distR="114300">
            <wp:extent cx="4755515" cy="2918460"/>
            <wp:effectExtent l="0" t="0" r="6985" b="1524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55515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3.2.4航运财务经理支付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充值功能和之前用代扣模式一样，仅仅在支付环节，可选择“中国银行-航运在线通”产品进行支付。</w:t>
      </w:r>
    </w:p>
    <w:p>
      <w:pPr>
        <w:ind w:firstLine="420"/>
        <w:jc w:val="left"/>
      </w:pPr>
      <w:r>
        <w:rPr>
          <w:rFonts w:hint="eastAsia"/>
          <w:lang w:val="en-US" w:eastAsia="zh-CN"/>
        </w:rPr>
        <w:t>请选择等待财务经理支付的数据，点“中国银行-航运在线通”按钮，进入下一步确认支付的界面。</w:t>
      </w:r>
      <w:bookmarkStart w:id="0" w:name="_GoBack"/>
      <w:bookmarkEnd w:id="0"/>
    </w:p>
    <w:p>
      <w:pPr>
        <w:jc w:val="left"/>
      </w:pPr>
      <w:r>
        <w:drawing>
          <wp:inline distT="0" distB="0" distL="114300" distR="114300">
            <wp:extent cx="5570855" cy="2331085"/>
            <wp:effectExtent l="0" t="0" r="10795" b="12065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70855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在如下确认支付的界面，需要输入2.2.3提及的一级账户收到的微信验证码和支付密码。</w:t>
      </w: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请点击“发送验证码”推送微信验证码给一级账户，一级账户绑定的微信将会收到“外代微服务”公众号推送的验证码信息。</w:t>
      </w:r>
    </w:p>
    <w:p>
      <w:r>
        <w:drawing>
          <wp:inline distT="0" distB="0" distL="114300" distR="114300">
            <wp:extent cx="3584575" cy="2647950"/>
            <wp:effectExtent l="0" t="0" r="15875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845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如遇到支付失败的情况，重新发起一笔新的充值申请。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EF3C81"/>
    <w:multiLevelType w:val="singleLevel"/>
    <w:tmpl w:val="34EF3C8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2319D7"/>
    <w:multiLevelType w:val="singleLevel"/>
    <w:tmpl w:val="582319D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ZDdlNzZhYWFhZTI0ODhiODAzNTI0MjA3NzI0MTkifQ=="/>
  </w:docVars>
  <w:rsids>
    <w:rsidRoot w:val="5CD74776"/>
    <w:rsid w:val="083F3F15"/>
    <w:rsid w:val="09E34C3C"/>
    <w:rsid w:val="0F492885"/>
    <w:rsid w:val="12FA5F17"/>
    <w:rsid w:val="1FB77379"/>
    <w:rsid w:val="3A015EB8"/>
    <w:rsid w:val="3DE36FC5"/>
    <w:rsid w:val="4F444078"/>
    <w:rsid w:val="52D01FDF"/>
    <w:rsid w:val="562E5095"/>
    <w:rsid w:val="5CD74776"/>
    <w:rsid w:val="7763511E"/>
    <w:rsid w:val="7F16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="120" w:after="120" w:line="360" w:lineRule="auto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b/>
      <w:kern w:val="44"/>
      <w:sz w:val="30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28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b/>
      <w:sz w:val="24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1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2024-03-22T06:50:00Z</dcterms:created>
  <dc:creator>Kevin.c</dc:creator>
  <cp:lastModifiedBy>yuanchang</cp:lastModifiedBy>
  <dcterms:modified xsi:type="dcterms:W3CDTF">2024-04-15T08:19:31Z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276056F4DB57411B9CCE931A13E829DC_11</vt:lpwstr>
  </property>
</Properties>
</file>